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-1028699</wp:posOffset>
            </wp:positionH>
            <wp:positionV relativeFrom="paragraph">
              <wp:posOffset>47625</wp:posOffset>
            </wp:positionV>
            <wp:extent cx="3390900" cy="1409700"/>
            <wp:effectExtent b="0" l="0" r="0" t="0"/>
            <wp:wrapSquare wrapText="bothSides" distB="0" distT="0" distL="114300" distR="114300"/>
            <wp:docPr descr="PRINT-Logo" id="24" name="image1.png"/>
            <a:graphic>
              <a:graphicData uri="http://schemas.openxmlformats.org/drawingml/2006/picture">
                <pic:pic>
                  <pic:nvPicPr>
                    <pic:cNvPr descr="PRINT-Logo" id="0" name="image1.png"/>
                    <pic:cNvPicPr preferRelativeResize="0"/>
                  </pic:nvPicPr>
                  <pic:blipFill>
                    <a:blip r:embed="rId7"/>
                    <a:srcRect b="44043" l="24726" r="26714" t="2575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right="-1440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SERVICES REQUEST FORM</w:t>
        <w:tab/>
      </w:r>
      <w:r w:rsidDel="00000000" w:rsidR="00000000" w:rsidRPr="00000000">
        <w:rPr>
          <w:rtl w:val="0"/>
        </w:rPr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sz w:val="6"/>
          <w:szCs w:val="6"/>
          <w:rtl w:val="0"/>
        </w:rPr>
        <w:tab/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59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X-ray Wizards, llc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5940" w:right="-12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41617 Swiftwater Drive, Leesburg, VA 20176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59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Ph: 703.574.5445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288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Fax: 703.459.2684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2880" w:right="-126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Email: inquiry@ x-raywizards.com</w:t>
      </w:r>
    </w:p>
    <w:p w:rsidR="00000000" w:rsidDel="00000000" w:rsidP="00000000" w:rsidRDefault="00000000" w:rsidRPr="00000000" w14:paraId="0000000A">
      <w:pPr>
        <w:widowControl w:val="0"/>
        <w:ind w:left="-1440" w:right="-12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print, complete this form and submit with samples.</w: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-1423923</wp:posOffset>
                </wp:positionH>
                <wp:positionV relativeFrom="paragraph">
                  <wp:posOffset>-14223</wp:posOffset>
                </wp:positionV>
                <wp:extent cx="8115300" cy="1900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8350" y="3780000"/>
                          <a:ext cx="81153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-1423923</wp:posOffset>
                </wp:positionH>
                <wp:positionV relativeFrom="paragraph">
                  <wp:posOffset>-14223</wp:posOffset>
                </wp:positionV>
                <wp:extent cx="8115300" cy="19005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300" cy="19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ind w:left="-1440" w:right="-12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1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2655"/>
        <w:gridCol w:w="2655"/>
        <w:gridCol w:w="2655"/>
        <w:tblGridChange w:id="0">
          <w:tblGrid>
            <w:gridCol w:w="2655"/>
            <w:gridCol w:w="2655"/>
            <w:gridCol w:w="2655"/>
            <w:gridCol w:w="2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Dept.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Street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ind w:left="-1440" w:right="-12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60" w:before="60" w:lineRule="auto"/>
        <w:ind w:left="-1440" w:right="-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Type of Samples (e.g. film stack, polymer, soil):</w:t>
      </w:r>
    </w:p>
    <w:tbl>
      <w:tblPr>
        <w:tblStyle w:val="Table2"/>
        <w:tblW w:w="11453.0" w:type="dxa"/>
        <w:jc w:val="left"/>
        <w:tblInd w:w="-13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53"/>
        <w:tblGridChange w:id="0">
          <w:tblGrid>
            <w:gridCol w:w="11453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ind w:right="-144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left="-1440" w:right="-144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Number of Samples: </w:t>
      </w:r>
      <w:r w:rsidDel="00000000" w:rsidR="00000000" w:rsidRPr="00000000">
        <w:rPr>
          <w:color w:val="808080"/>
          <w:u w:val="singl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-1440" w:right="-144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60" w:lineRule="auto"/>
        <w:ind w:left="-1440" w:right="-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Primary Application(s)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Please check the appropriate box (es)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-12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Phase Identification      </w:t>
      </w: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Quantitative Analysis        </w:t>
      </w: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Texture           </w:t>
      </w: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Stress</w:t>
      </w:r>
    </w:p>
    <w:p w:rsidR="00000000" w:rsidDel="00000000" w:rsidP="00000000" w:rsidRDefault="00000000" w:rsidRPr="00000000" w14:paraId="0000002C">
      <w:pPr>
        <w:ind w:right="-360" w:hanging="144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MS Gothic" w:cs="MS Gothic" w:eastAsia="MS Gothic" w:hAnsi="MS Gothic"/>
          <w:color w:val="00000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Percent Crystallinity      </w:t>
      </w: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Crystallite Size           </w:t>
      </w: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Indexing           </w:t>
      </w: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SAX             </w:t>
      </w: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XRR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Rule="auto"/>
        <w:ind w:left="-162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Purpose of analysis (what is your primary interest):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1453.0" w:type="dxa"/>
        <w:jc w:val="left"/>
        <w:tblInd w:w="-13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53"/>
        <w:tblGridChange w:id="0">
          <w:tblGrid>
            <w:gridCol w:w="11453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-16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ind w:left="-144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Please check one of the following options: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144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Dispose of samples after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144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Retain samples for one month after analysis then dispose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144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Return samples immediately after analysis   </w:t>
      </w:r>
    </w:p>
    <w:p w:rsidR="00000000" w:rsidDel="00000000" w:rsidP="00000000" w:rsidRDefault="00000000" w:rsidRPr="00000000" w14:paraId="00000035">
      <w:pPr>
        <w:ind w:left="-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1350" w:right="-1260" w:hanging="27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Do you desire Rush Analysis? Next in queue: typically 24 to 48 hours turnaround after receipt of samples is available (75% surcharge applies):         </w:t>
      </w: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Yes           </w:t>
      </w: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No</w:t>
      </w:r>
    </w:p>
    <w:p w:rsidR="00000000" w:rsidDel="00000000" w:rsidP="00000000" w:rsidRDefault="00000000" w:rsidRPr="00000000" w14:paraId="00000037">
      <w:pPr>
        <w:ind w:left="-162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1620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162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Payment option -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Please check the appropriate box:</w:t>
      </w:r>
    </w:p>
    <w:p w:rsidR="00000000" w:rsidDel="00000000" w:rsidP="00000000" w:rsidRDefault="00000000" w:rsidRPr="00000000" w14:paraId="0000003A">
      <w:pPr>
        <w:ind w:left="-1620" w:firstLine="720"/>
        <w:rPr>
          <w:rFonts w:ascii="Arial" w:cs="Arial" w:eastAsia="Arial" w:hAnsi="Arial"/>
          <w:i w:val="1"/>
          <w:sz w:val="6"/>
          <w:szCs w:val="6"/>
        </w:rPr>
      </w:pP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Purchase order included with sample shipment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1620" w:firstLine="720"/>
        <w:rPr>
          <w:rFonts w:ascii="Arial" w:cs="Arial" w:eastAsia="Arial" w:hAnsi="Arial"/>
          <w:i w:val="1"/>
          <w:sz w:val="6"/>
          <w:szCs w:val="6"/>
        </w:rPr>
      </w:pP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Please charge credit card (billing dept will contact you)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1620" w:firstLine="720"/>
        <w:rPr>
          <w:rFonts w:ascii="Arial" w:cs="Arial" w:eastAsia="Arial" w:hAnsi="Arial"/>
          <w:i w:val="1"/>
          <w:sz w:val="6"/>
          <w:szCs w:val="6"/>
        </w:rPr>
      </w:pP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Payment arrangement will be made at a later date (our billing dept will contact you)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80" w:top="0" w:left="180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2D15"/>
    <w:rPr>
      <w:color w:val="000000"/>
      <w:kern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582D1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2E2CB7"/>
    <w:rPr>
      <w:color w:val="808080"/>
    </w:rPr>
  </w:style>
  <w:style w:type="paragraph" w:styleId="BalloonText">
    <w:name w:val="Balloon Text"/>
    <w:basedOn w:val="Normal"/>
    <w:link w:val="BalloonTextChar"/>
    <w:rsid w:val="002E2CB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E2CB7"/>
    <w:rPr>
      <w:rFonts w:ascii="Tahoma" w:cs="Tahoma" w:hAnsi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EB341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DaIYtGyFdT0ESZzF/6Rl6vgYg==">AMUW2mWUKUp5y6R0lc4MiB9DvtzpgMbX3jvnPBAZ4wwM4g4d9D+ZYyE9Ve823Z13C9KOOVtYofN6Le4p9v65ZKg526bVvf9V5GXt78dWSqKwhn7rrv5jem0=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2014-05-30T12:30:00Z</dcterms:created>
  <dc:creator>rortega</dc:creator>
</cp:coreProperties>
</file>